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9C73" w14:textId="0C9C68A7" w:rsidR="005C786A" w:rsidRPr="00B71DBA" w:rsidRDefault="00276698">
      <w:pPr>
        <w:pStyle w:val="Heading1"/>
        <w:rPr>
          <w:rFonts w:ascii="Aptos" w:hAnsi="Aptos"/>
        </w:rPr>
      </w:pPr>
      <w:r w:rsidRPr="00B71DBA">
        <w:rPr>
          <w:rFonts w:ascii="Aptos" w:hAnsi="Aptos"/>
        </w:rPr>
        <w:t>Consilient Health</w:t>
      </w:r>
      <w:r w:rsidRPr="00B71DBA">
        <w:rPr>
          <w:rFonts w:ascii="Aptos" w:hAnsi="Aptos"/>
        </w:rPr>
        <w:br/>
        <w:t xml:space="preserve">Methodological Note for Disclosure of Transfers of Value to </w:t>
      </w:r>
      <w:r w:rsidR="00D50068">
        <w:rPr>
          <w:rFonts w:ascii="Aptos" w:hAnsi="Aptos"/>
        </w:rPr>
        <w:t xml:space="preserve">UK </w:t>
      </w:r>
      <w:r w:rsidRPr="00B71DBA">
        <w:rPr>
          <w:rFonts w:ascii="Aptos" w:hAnsi="Aptos"/>
        </w:rPr>
        <w:t>Patient Organisations (POs) and Members of the Public (MOPs)</w:t>
      </w:r>
      <w:r w:rsidRPr="00B71DBA">
        <w:rPr>
          <w:rFonts w:ascii="Aptos" w:hAnsi="Aptos"/>
        </w:rPr>
        <w:br/>
        <w:t>Data Year 2025</w:t>
      </w:r>
    </w:p>
    <w:tbl>
      <w:tblPr>
        <w:tblStyle w:val="TableGrid"/>
        <w:tblW w:w="0" w:type="auto"/>
        <w:tblLook w:val="04A0" w:firstRow="1" w:lastRow="0" w:firstColumn="1" w:lastColumn="0" w:noHBand="0" w:noVBand="1"/>
      </w:tblPr>
      <w:tblGrid>
        <w:gridCol w:w="4315"/>
        <w:gridCol w:w="4315"/>
      </w:tblGrid>
      <w:tr w:rsidR="005C786A" w:rsidRPr="00B71DBA" w14:paraId="1F4819C5" w14:textId="77777777">
        <w:tc>
          <w:tcPr>
            <w:tcW w:w="4320" w:type="dxa"/>
          </w:tcPr>
          <w:p w14:paraId="147C1B57" w14:textId="77777777" w:rsidR="005C786A" w:rsidRPr="00B71DBA" w:rsidRDefault="00276698">
            <w:pPr>
              <w:rPr>
                <w:rFonts w:ascii="Aptos" w:hAnsi="Aptos"/>
              </w:rPr>
            </w:pPr>
            <w:r w:rsidRPr="00B71DBA">
              <w:rPr>
                <w:rFonts w:ascii="Aptos" w:hAnsi="Aptos"/>
              </w:rPr>
              <w:t>Data Year</w:t>
            </w:r>
          </w:p>
        </w:tc>
        <w:tc>
          <w:tcPr>
            <w:tcW w:w="4320" w:type="dxa"/>
          </w:tcPr>
          <w:p w14:paraId="78318855" w14:textId="77777777" w:rsidR="005C786A" w:rsidRPr="00B71DBA" w:rsidRDefault="00276698">
            <w:pPr>
              <w:rPr>
                <w:rFonts w:ascii="Aptos" w:hAnsi="Aptos"/>
              </w:rPr>
            </w:pPr>
            <w:r w:rsidRPr="00B71DBA">
              <w:rPr>
                <w:rFonts w:ascii="Aptos" w:hAnsi="Aptos"/>
              </w:rPr>
              <w:t>2025</w:t>
            </w:r>
          </w:p>
        </w:tc>
      </w:tr>
      <w:tr w:rsidR="005C786A" w:rsidRPr="00B71DBA" w14:paraId="69DA0E64" w14:textId="77777777">
        <w:tc>
          <w:tcPr>
            <w:tcW w:w="4320" w:type="dxa"/>
          </w:tcPr>
          <w:p w14:paraId="2C115BD5" w14:textId="77777777" w:rsidR="005C786A" w:rsidRPr="00B71DBA" w:rsidRDefault="00276698">
            <w:pPr>
              <w:rPr>
                <w:rFonts w:ascii="Aptos" w:hAnsi="Aptos"/>
              </w:rPr>
            </w:pPr>
            <w:r w:rsidRPr="00B71DBA">
              <w:rPr>
                <w:rFonts w:ascii="Aptos" w:hAnsi="Aptos"/>
              </w:rPr>
              <w:t>Publication Year</w:t>
            </w:r>
          </w:p>
        </w:tc>
        <w:tc>
          <w:tcPr>
            <w:tcW w:w="4320" w:type="dxa"/>
          </w:tcPr>
          <w:p w14:paraId="30FCB5E0" w14:textId="0093ADA9" w:rsidR="005C786A" w:rsidRPr="00B71DBA" w:rsidRDefault="00B71DBA">
            <w:pPr>
              <w:rPr>
                <w:rFonts w:ascii="Aptos" w:hAnsi="Aptos"/>
              </w:rPr>
            </w:pPr>
            <w:r>
              <w:rPr>
                <w:rFonts w:ascii="Aptos" w:hAnsi="Aptos"/>
              </w:rPr>
              <w:t xml:space="preserve">June </w:t>
            </w:r>
            <w:r w:rsidR="00276698" w:rsidRPr="00B71DBA">
              <w:rPr>
                <w:rFonts w:ascii="Aptos" w:hAnsi="Aptos"/>
              </w:rPr>
              <w:t>2026</w:t>
            </w:r>
          </w:p>
        </w:tc>
      </w:tr>
      <w:tr w:rsidR="005C786A" w:rsidRPr="00B71DBA" w14:paraId="3EAB600C" w14:textId="77777777">
        <w:tc>
          <w:tcPr>
            <w:tcW w:w="4320" w:type="dxa"/>
          </w:tcPr>
          <w:p w14:paraId="6D66FF1F" w14:textId="77777777" w:rsidR="005C786A" w:rsidRPr="00B71DBA" w:rsidRDefault="00276698">
            <w:pPr>
              <w:rPr>
                <w:rFonts w:ascii="Aptos" w:hAnsi="Aptos"/>
              </w:rPr>
            </w:pPr>
            <w:r w:rsidRPr="00B71DBA">
              <w:rPr>
                <w:rFonts w:ascii="Aptos" w:hAnsi="Aptos"/>
              </w:rPr>
              <w:t>Prepared By</w:t>
            </w:r>
          </w:p>
        </w:tc>
        <w:tc>
          <w:tcPr>
            <w:tcW w:w="4320" w:type="dxa"/>
          </w:tcPr>
          <w:p w14:paraId="23563E93" w14:textId="77777777" w:rsidR="005C786A" w:rsidRPr="00B71DBA" w:rsidRDefault="00276698">
            <w:pPr>
              <w:rPr>
                <w:rFonts w:ascii="Aptos" w:hAnsi="Aptos"/>
              </w:rPr>
            </w:pPr>
            <w:r w:rsidRPr="00B71DBA">
              <w:rPr>
                <w:rFonts w:ascii="Aptos" w:hAnsi="Aptos"/>
              </w:rPr>
              <w:t>Consilient Health</w:t>
            </w:r>
          </w:p>
        </w:tc>
      </w:tr>
    </w:tbl>
    <w:p w14:paraId="4F90939C" w14:textId="16438466" w:rsidR="005C786A" w:rsidRPr="00B71DBA" w:rsidRDefault="00276698">
      <w:pPr>
        <w:rPr>
          <w:rFonts w:ascii="Aptos" w:hAnsi="Aptos"/>
        </w:rPr>
      </w:pPr>
      <w:r w:rsidRPr="00B71DBA">
        <w:rPr>
          <w:rFonts w:ascii="Aptos" w:hAnsi="Aptos"/>
        </w:rPr>
        <w:br/>
        <w:t>This methodological note describes the approach used by Consilient Health in preparing its annual disclosure of Transfers of Value (</w:t>
      </w:r>
      <w:proofErr w:type="spellStart"/>
      <w:r w:rsidRPr="00B71DBA">
        <w:rPr>
          <w:rFonts w:ascii="Aptos" w:hAnsi="Aptos"/>
        </w:rPr>
        <w:t>ToVs</w:t>
      </w:r>
      <w:proofErr w:type="spellEnd"/>
      <w:r w:rsidRPr="00B71DBA">
        <w:rPr>
          <w:rFonts w:ascii="Aptos" w:hAnsi="Aptos"/>
        </w:rPr>
        <w:t xml:space="preserve">) to </w:t>
      </w:r>
      <w:r w:rsidR="00D50068">
        <w:rPr>
          <w:rFonts w:ascii="Aptos" w:hAnsi="Aptos"/>
        </w:rPr>
        <w:t xml:space="preserve">UK </w:t>
      </w:r>
      <w:r w:rsidRPr="00B71DBA">
        <w:rPr>
          <w:rFonts w:ascii="Aptos" w:hAnsi="Aptos"/>
        </w:rPr>
        <w:t>Patient Organisations (POs) and Members of the Public (MOPs) for the calendar year 2025. The disclosure has been prepared in accordance with the requirements of the ABPI Code of Practice 2024 and should be read alongside the published disclosure information.</w:t>
      </w:r>
    </w:p>
    <w:p w14:paraId="787BAD0C" w14:textId="77777777" w:rsidR="005C786A" w:rsidRPr="00B71DBA" w:rsidRDefault="00276698">
      <w:pPr>
        <w:pStyle w:val="Heading2"/>
        <w:rPr>
          <w:rFonts w:ascii="Aptos" w:hAnsi="Aptos"/>
        </w:rPr>
      </w:pPr>
      <w:r w:rsidRPr="00B71DBA">
        <w:rPr>
          <w:rFonts w:ascii="Aptos" w:hAnsi="Aptos"/>
        </w:rPr>
        <w:t>1. Scope of Disclosure</w:t>
      </w:r>
    </w:p>
    <w:p w14:paraId="3BAA9C59" w14:textId="77777777" w:rsidR="005C786A" w:rsidRPr="00B71DBA" w:rsidRDefault="00276698">
      <w:pPr>
        <w:rPr>
          <w:rFonts w:ascii="Aptos" w:hAnsi="Aptos"/>
        </w:rPr>
      </w:pPr>
      <w:r w:rsidRPr="00B71DBA">
        <w:rPr>
          <w:rFonts w:ascii="Aptos" w:hAnsi="Aptos"/>
        </w:rPr>
        <w:t>The disclosure includes transfers of value provided to UK patient organisations and members of the public, including patients, carers and patient representatives, where disclosure is required under the ABPI Code. The disclosure covers payments made between 1 January 2025 and 31 December 2025, regardless of when the related activity took place.</w:t>
      </w:r>
    </w:p>
    <w:p w14:paraId="1B3CC6E5" w14:textId="77777777" w:rsidR="005C786A" w:rsidRPr="00B71DBA" w:rsidRDefault="00276698">
      <w:pPr>
        <w:pStyle w:val="Heading2"/>
        <w:rPr>
          <w:rFonts w:ascii="Aptos" w:hAnsi="Aptos"/>
        </w:rPr>
      </w:pPr>
      <w:r w:rsidRPr="00B71DBA">
        <w:rPr>
          <w:rFonts w:ascii="Aptos" w:hAnsi="Aptos"/>
        </w:rPr>
        <w:t>2. Categories of Transfers of Value</w:t>
      </w:r>
    </w:p>
    <w:p w14:paraId="05A6FA63" w14:textId="0BFFBED7" w:rsidR="005C786A" w:rsidRPr="00B71DBA" w:rsidRDefault="00276698">
      <w:pPr>
        <w:rPr>
          <w:rFonts w:ascii="Aptos" w:hAnsi="Aptos"/>
        </w:rPr>
      </w:pPr>
      <w:r w:rsidRPr="00B71DBA">
        <w:rPr>
          <w:rFonts w:ascii="Aptos" w:hAnsi="Aptos"/>
        </w:rPr>
        <w:t>Consilient Health discloses the following categories where applicable:</w:t>
      </w:r>
      <w:r w:rsidRPr="00B71DBA">
        <w:rPr>
          <w:rFonts w:ascii="Aptos" w:hAnsi="Aptos"/>
        </w:rPr>
        <w:br/>
      </w:r>
      <w:r w:rsidRPr="00B71DBA">
        <w:rPr>
          <w:rFonts w:ascii="Aptos" w:hAnsi="Aptos"/>
        </w:rPr>
        <w:br/>
        <w:t>• Donations and grants to patient organisations.</w:t>
      </w:r>
      <w:r w:rsidRPr="00B71DBA">
        <w:rPr>
          <w:rFonts w:ascii="Aptos" w:hAnsi="Aptos"/>
        </w:rPr>
        <w:br/>
        <w:t>• Sponsorship of patient organisation meetings, events or projects.</w:t>
      </w:r>
      <w:r w:rsidRPr="00B71DBA">
        <w:rPr>
          <w:rFonts w:ascii="Aptos" w:hAnsi="Aptos"/>
        </w:rPr>
        <w:br/>
        <w:t>• Fees for contracted services provided by patient organisations.</w:t>
      </w:r>
      <w:r w:rsidRPr="00B71DBA">
        <w:rPr>
          <w:rFonts w:ascii="Aptos" w:hAnsi="Aptos"/>
        </w:rPr>
        <w:br/>
        <w:t>• Fees for services provided by members of the public.</w:t>
      </w:r>
    </w:p>
    <w:p w14:paraId="71E06E78" w14:textId="77777777" w:rsidR="005C786A" w:rsidRPr="00B71DBA" w:rsidRDefault="00276698">
      <w:pPr>
        <w:pStyle w:val="Heading2"/>
        <w:rPr>
          <w:rFonts w:ascii="Aptos" w:hAnsi="Aptos"/>
        </w:rPr>
      </w:pPr>
      <w:r w:rsidRPr="00B71DBA">
        <w:rPr>
          <w:rFonts w:ascii="Aptos" w:hAnsi="Aptos"/>
        </w:rPr>
        <w:t>3. Methodology</w:t>
      </w:r>
    </w:p>
    <w:p w14:paraId="27236095" w14:textId="77777777" w:rsidR="00B71DBA" w:rsidRDefault="00276698">
      <w:pPr>
        <w:rPr>
          <w:rFonts w:ascii="Aptos" w:hAnsi="Aptos"/>
        </w:rPr>
      </w:pPr>
      <w:r w:rsidRPr="00B71DBA">
        <w:rPr>
          <w:rFonts w:ascii="Aptos" w:hAnsi="Aptos"/>
        </w:rPr>
        <w:t>Transfers of value are reported based on the date payment was made during the reporting period. Only payments made during the 2025 calendar year are included in the 2025 disclosure.</w:t>
      </w:r>
      <w:r w:rsidRPr="00B71DBA">
        <w:rPr>
          <w:rFonts w:ascii="Aptos" w:hAnsi="Aptos"/>
        </w:rPr>
        <w:br/>
      </w:r>
      <w:r w:rsidRPr="00B71DBA">
        <w:rPr>
          <w:rFonts w:ascii="Aptos" w:hAnsi="Aptos"/>
        </w:rPr>
        <w:br/>
        <w:t xml:space="preserve">All disclosures are reported in pounds sterling (GBP). </w:t>
      </w:r>
    </w:p>
    <w:p w14:paraId="49FAEEE0" w14:textId="4D9BF721" w:rsidR="005C786A" w:rsidRPr="00B71DBA" w:rsidRDefault="00276698">
      <w:pPr>
        <w:rPr>
          <w:rFonts w:ascii="Aptos" w:hAnsi="Aptos"/>
        </w:rPr>
      </w:pPr>
      <w:r w:rsidRPr="00B71DBA">
        <w:rPr>
          <w:rFonts w:ascii="Aptos" w:hAnsi="Aptos"/>
        </w:rPr>
        <w:t>Payments are attributed to the</w:t>
      </w:r>
      <w:r w:rsidR="00D50068">
        <w:rPr>
          <w:rFonts w:ascii="Aptos" w:hAnsi="Aptos"/>
        </w:rPr>
        <w:t xml:space="preserve"> </w:t>
      </w:r>
      <w:r w:rsidRPr="00B71DBA">
        <w:rPr>
          <w:rFonts w:ascii="Aptos" w:hAnsi="Aptos"/>
        </w:rPr>
        <w:t>individual or organisation that received the transfer of value. Where an activity spans more than one calendar year, only payments made during the reporting period are included in the annual disclosure.</w:t>
      </w:r>
      <w:r w:rsidRPr="00B71DBA">
        <w:rPr>
          <w:rFonts w:ascii="Aptos" w:hAnsi="Aptos"/>
        </w:rPr>
        <w:br/>
      </w:r>
      <w:r w:rsidRPr="00B71DBA">
        <w:rPr>
          <w:rFonts w:ascii="Aptos" w:hAnsi="Aptos"/>
        </w:rPr>
        <w:br/>
      </w:r>
      <w:r w:rsidRPr="00B71DBA">
        <w:rPr>
          <w:rFonts w:ascii="Aptos" w:hAnsi="Aptos"/>
        </w:rPr>
        <w:lastRenderedPageBreak/>
        <w:t>Disclosures are based on actual payments made during the reporting period and are reconciled against finance records prior to publication. Consilient Health undertakes a review of recipient details, payment values and disclosure categories to support the completeness and accuracy of the disclosure. This disclosure has been prepared in accordance with the transparency requirements set out in the ABPI Code of Practice 2024.</w:t>
      </w:r>
    </w:p>
    <w:p w14:paraId="3AAAD5D3" w14:textId="77777777" w:rsidR="005C786A" w:rsidRPr="00B71DBA" w:rsidRDefault="00276698">
      <w:pPr>
        <w:pStyle w:val="Heading2"/>
        <w:rPr>
          <w:rFonts w:ascii="Aptos" w:hAnsi="Aptos"/>
        </w:rPr>
      </w:pPr>
      <w:r w:rsidRPr="00B71DBA">
        <w:rPr>
          <w:rFonts w:ascii="Aptos" w:hAnsi="Aptos"/>
        </w:rPr>
        <w:t>4. Data Quality and Governance</w:t>
      </w:r>
    </w:p>
    <w:p w14:paraId="46D9E04F" w14:textId="77777777" w:rsidR="005C786A" w:rsidRPr="00B71DBA" w:rsidRDefault="00276698">
      <w:pPr>
        <w:rPr>
          <w:rFonts w:ascii="Aptos" w:hAnsi="Aptos"/>
        </w:rPr>
      </w:pPr>
      <w:r w:rsidRPr="00B71DBA">
        <w:rPr>
          <w:rFonts w:ascii="Aptos" w:hAnsi="Aptos"/>
        </w:rPr>
        <w:t>Consilient Health maintains records of all reportable transfers of value through internal tracking processes. Information used for disclosure is cross-checked against finance records and reviewed prior to publication to ensure consistency and accuracy.</w:t>
      </w:r>
    </w:p>
    <w:p w14:paraId="2F7F1CAE" w14:textId="77777777" w:rsidR="005C786A" w:rsidRPr="00B71DBA" w:rsidRDefault="00276698">
      <w:pPr>
        <w:pStyle w:val="Heading2"/>
        <w:rPr>
          <w:rFonts w:ascii="Aptos" w:hAnsi="Aptos"/>
        </w:rPr>
      </w:pPr>
      <w:r w:rsidRPr="00B71DBA">
        <w:rPr>
          <w:rFonts w:ascii="Aptos" w:hAnsi="Aptos"/>
        </w:rPr>
        <w:t>5. Additional Information</w:t>
      </w:r>
    </w:p>
    <w:p w14:paraId="3A7BFADB" w14:textId="31DBB8FD" w:rsidR="005C786A" w:rsidRPr="00B71DBA" w:rsidRDefault="00276698">
      <w:pPr>
        <w:rPr>
          <w:rFonts w:ascii="Aptos" w:hAnsi="Aptos"/>
        </w:rPr>
      </w:pPr>
      <w:r w:rsidRPr="00B71DBA">
        <w:rPr>
          <w:rFonts w:ascii="Aptos" w:hAnsi="Aptos"/>
        </w:rPr>
        <w:t xml:space="preserve">Consilient Health is committed to transparency in its relationships with </w:t>
      </w:r>
      <w:r w:rsidR="00D50068">
        <w:rPr>
          <w:rFonts w:ascii="Aptos" w:hAnsi="Aptos"/>
        </w:rPr>
        <w:t xml:space="preserve">UK </w:t>
      </w:r>
      <w:r w:rsidRPr="00B71DBA">
        <w:rPr>
          <w:rFonts w:ascii="Aptos" w:hAnsi="Aptos"/>
        </w:rPr>
        <w:t>patient organisations and members of the public. This methodological note explains the approach used to prepare the 2025 disclosure and should be considered alongside the published transfer of value data.</w:t>
      </w:r>
    </w:p>
    <w:sectPr w:rsidR="005C786A" w:rsidRPr="00B71DB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18932138">
    <w:abstractNumId w:val="8"/>
  </w:num>
  <w:num w:numId="2" w16cid:durableId="981889169">
    <w:abstractNumId w:val="6"/>
  </w:num>
  <w:num w:numId="3" w16cid:durableId="2038506942">
    <w:abstractNumId w:val="5"/>
  </w:num>
  <w:num w:numId="4" w16cid:durableId="1545561939">
    <w:abstractNumId w:val="4"/>
  </w:num>
  <w:num w:numId="5" w16cid:durableId="677121923">
    <w:abstractNumId w:val="7"/>
  </w:num>
  <w:num w:numId="6" w16cid:durableId="518279233">
    <w:abstractNumId w:val="3"/>
  </w:num>
  <w:num w:numId="7" w16cid:durableId="1255893162">
    <w:abstractNumId w:val="2"/>
  </w:num>
  <w:num w:numId="8" w16cid:durableId="1497919951">
    <w:abstractNumId w:val="1"/>
  </w:num>
  <w:num w:numId="9" w16cid:durableId="1591543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76698"/>
    <w:rsid w:val="0029639D"/>
    <w:rsid w:val="00326F90"/>
    <w:rsid w:val="005A6F47"/>
    <w:rsid w:val="005C786A"/>
    <w:rsid w:val="007F5310"/>
    <w:rsid w:val="00AA1D8D"/>
    <w:rsid w:val="00B47730"/>
    <w:rsid w:val="00B71DBA"/>
    <w:rsid w:val="00CB0664"/>
    <w:rsid w:val="00D1538B"/>
    <w:rsid w:val="00D50068"/>
    <w:rsid w:val="00D8580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A5F39B"/>
  <w14:defaultImageDpi w14:val="300"/>
  <w15:docId w15:val="{32D049EF-3FCD-42DB-A61A-8AF598D8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Lauren Sorrell</cp:lastModifiedBy>
  <cp:revision>2</cp:revision>
  <dcterms:created xsi:type="dcterms:W3CDTF">2026-06-16T11:30:00Z</dcterms:created>
  <dcterms:modified xsi:type="dcterms:W3CDTF">2026-06-16T11:30:00Z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71e2fc-cf86-4d9d-b0ea-bead63b9de43_Enabled">
    <vt:lpwstr>true</vt:lpwstr>
  </property>
  <property fmtid="{D5CDD505-2E9C-101B-9397-08002B2CF9AE}" pid="3" name="MSIP_Label_0b71e2fc-cf86-4d9d-b0ea-bead63b9de43_SetDate">
    <vt:lpwstr>2026-06-09T11:00:19Z</vt:lpwstr>
  </property>
  <property fmtid="{D5CDD505-2E9C-101B-9397-08002B2CF9AE}" pid="4" name="MSIP_Label_0b71e2fc-cf86-4d9d-b0ea-bead63b9de43_Method">
    <vt:lpwstr>Standard</vt:lpwstr>
  </property>
  <property fmtid="{D5CDD505-2E9C-101B-9397-08002B2CF9AE}" pid="5" name="MSIP_Label_0b71e2fc-cf86-4d9d-b0ea-bead63b9de43_Name">
    <vt:lpwstr>General</vt:lpwstr>
  </property>
  <property fmtid="{D5CDD505-2E9C-101B-9397-08002B2CF9AE}" pid="6" name="MSIP_Label_0b71e2fc-cf86-4d9d-b0ea-bead63b9de43_SiteId">
    <vt:lpwstr>647ecc71-89d2-410e-94de-01ff5de92834</vt:lpwstr>
  </property>
  <property fmtid="{D5CDD505-2E9C-101B-9397-08002B2CF9AE}" pid="7" name="MSIP_Label_0b71e2fc-cf86-4d9d-b0ea-bead63b9de43_ActionId">
    <vt:lpwstr>95bebca0-b951-4643-8871-2dad5efb9168</vt:lpwstr>
  </property>
  <property fmtid="{D5CDD505-2E9C-101B-9397-08002B2CF9AE}" pid="8" name="MSIP_Label_0b71e2fc-cf86-4d9d-b0ea-bead63b9de43_ContentBits">
    <vt:lpwstr>0</vt:lpwstr>
  </property>
  <property fmtid="{D5CDD505-2E9C-101B-9397-08002B2CF9AE}" pid="9" name="MSIP_Label_0b71e2fc-cf86-4d9d-b0ea-bead63b9de43_Tag">
    <vt:lpwstr>10, 3, 0, 1</vt:lpwstr>
  </property>
</Properties>
</file>